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788E" w:rsidRDefault="0019788E" w:rsidP="0019788E">
      <w:r>
        <w:t>Dział III</w:t>
      </w:r>
    </w:p>
    <w:p w:rsidR="0019788E" w:rsidRDefault="0019788E" w:rsidP="0019788E">
      <w:r>
        <w:t>OCHRONA WÓD</w:t>
      </w:r>
    </w:p>
    <w:p w:rsidR="0019788E" w:rsidRDefault="0019788E" w:rsidP="0019788E">
      <w:r>
        <w:t>Rozdział 1</w:t>
      </w:r>
    </w:p>
    <w:p w:rsidR="0019788E" w:rsidRDefault="0019788E" w:rsidP="0019788E">
      <w:r>
        <w:t>Cel ochrony wód i cele  środowiskowe</w:t>
      </w:r>
    </w:p>
    <w:p w:rsidR="0019788E" w:rsidRPr="00F94425" w:rsidRDefault="0019788E" w:rsidP="0019788E">
      <w:pPr>
        <w:pStyle w:val="ARTartustawynprozporzdzenia"/>
      </w:pPr>
      <w:r w:rsidRPr="00EC3B35">
        <w:rPr>
          <w:rStyle w:val="Ppogrubienie"/>
        </w:rPr>
        <w:t>Art. 51.</w:t>
      </w:r>
      <w:r>
        <w:t xml:space="preserve"> 1. </w:t>
      </w:r>
      <w:r w:rsidRPr="00F94425">
        <w:t>Celem ochrony wód jest osiągnięcie celów środowiskowych dla jednolitych części wód powierzchniowych, jednolitych części wód podziem</w:t>
      </w:r>
      <w:r>
        <w:t>nych oraz obszarów chronionych</w:t>
      </w:r>
      <w:r w:rsidRPr="00F94425">
        <w:t>, a</w:t>
      </w:r>
      <w:r>
        <w:t> </w:t>
      </w:r>
      <w:r w:rsidRPr="00F94425">
        <w:t>także poprawa jakości wód oraz</w:t>
      </w:r>
      <w:r>
        <w:t xml:space="preserve"> </w:t>
      </w:r>
      <w:r w:rsidRPr="00F94425">
        <w:t xml:space="preserve"> biologicznych stosunków w</w:t>
      </w:r>
      <w:r>
        <w:t> </w:t>
      </w:r>
      <w:r w:rsidRPr="00F94425">
        <w:t>środowisku wodnym i</w:t>
      </w:r>
      <w:r>
        <w:t> </w:t>
      </w:r>
      <w:r w:rsidRPr="00F94425">
        <w:t>na terenach podmokłych.</w:t>
      </w:r>
    </w:p>
    <w:p w:rsidR="0019788E" w:rsidRPr="00F94425" w:rsidRDefault="0019788E" w:rsidP="0019788E">
      <w:pPr>
        <w:pStyle w:val="USTustnpkodeksu"/>
        <w:keepNext/>
      </w:pPr>
      <w:r>
        <w:t>2</w:t>
      </w:r>
      <w:r w:rsidRPr="00F94425">
        <w:t>.</w:t>
      </w:r>
      <w:r>
        <w:t> </w:t>
      </w:r>
      <w:r w:rsidRPr="00F94425">
        <w:t>Realiz</w:t>
      </w:r>
      <w:r>
        <w:t>ując cel, o którym mowa w ust. 1</w:t>
      </w:r>
      <w:r w:rsidRPr="00F94425">
        <w:t>, należy zapewnić, żeby wody, w</w:t>
      </w:r>
      <w:r>
        <w:t> </w:t>
      </w:r>
      <w:r w:rsidRPr="00F94425">
        <w:t>zależności od potrzeb, nadawały się do:</w:t>
      </w:r>
    </w:p>
    <w:p w:rsidR="0019788E" w:rsidRPr="00F94425" w:rsidRDefault="0019788E" w:rsidP="0019788E">
      <w:pPr>
        <w:pStyle w:val="PKTpunkt"/>
      </w:pPr>
      <w:r w:rsidRPr="00F94425">
        <w:t>1)</w:t>
      </w:r>
      <w:r>
        <w:tab/>
      </w:r>
      <w:r w:rsidRPr="00F94425">
        <w:t>zaopatrzenia ludności w</w:t>
      </w:r>
      <w:r>
        <w:t> </w:t>
      </w:r>
      <w:r w:rsidRPr="00F94425">
        <w:t>wodę przeznaczoną do spożycia</w:t>
      </w:r>
      <w:r>
        <w:t xml:space="preserve"> przez ludzi</w:t>
      </w:r>
      <w:r w:rsidRPr="00F94425">
        <w:t>;</w:t>
      </w:r>
    </w:p>
    <w:p w:rsidR="0019788E" w:rsidRDefault="0019788E" w:rsidP="0019788E">
      <w:pPr>
        <w:pStyle w:val="PKTpunkt"/>
      </w:pPr>
      <w:r w:rsidRPr="00F94425">
        <w:t>2)</w:t>
      </w:r>
      <w:r>
        <w:tab/>
      </w:r>
      <w:r w:rsidRPr="00F94425">
        <w:t>rekreacji oraz uprawiania sportów wodnych;</w:t>
      </w:r>
    </w:p>
    <w:p w:rsidR="0019788E" w:rsidRDefault="0019788E" w:rsidP="0019788E">
      <w:pPr>
        <w:pStyle w:val="PKTpunkt"/>
      </w:pPr>
      <w:r>
        <w:t>3</w:t>
      </w:r>
      <w:r w:rsidRPr="00F94425">
        <w:t>)</w:t>
      </w:r>
      <w:r>
        <w:tab/>
      </w:r>
      <w:r w:rsidRPr="00F94425">
        <w:t>wykorzystywania do kąpieli</w:t>
      </w:r>
      <w:r>
        <w:t>;</w:t>
      </w:r>
    </w:p>
    <w:p w:rsidR="0019788E" w:rsidRPr="00F94425" w:rsidRDefault="0019788E" w:rsidP="0019788E">
      <w:pPr>
        <w:pStyle w:val="PKTpunkt"/>
      </w:pPr>
      <w:r>
        <w:t xml:space="preserve">4) </w:t>
      </w:r>
      <w:r>
        <w:tab/>
        <w:t>bytowania ryb i innych organizmów wodnych w warunkach naturalnych, umożliwiających ich migrację.</w:t>
      </w:r>
    </w:p>
    <w:p w:rsidR="0019788E" w:rsidRPr="00174B96" w:rsidRDefault="0019788E" w:rsidP="0019788E">
      <w:pPr>
        <w:jc w:val="both"/>
        <w:rPr>
          <w:i/>
        </w:rPr>
      </w:pPr>
      <w:r>
        <w:rPr>
          <w:i/>
        </w:rPr>
        <w:t>Uwaga</w:t>
      </w:r>
      <w:r w:rsidRPr="00174B96">
        <w:rPr>
          <w:i/>
        </w:rPr>
        <w:t>:</w:t>
      </w:r>
    </w:p>
    <w:p w:rsidR="0019788E" w:rsidRDefault="0019788E" w:rsidP="0019788E">
      <w:pPr>
        <w:jc w:val="both"/>
        <w:rPr>
          <w:i/>
        </w:rPr>
      </w:pPr>
      <w:r>
        <w:rPr>
          <w:i/>
        </w:rPr>
        <w:t>W artykule 51 w punkcie 2 brakuje celu dotyczącego zapewnienia wody na cele rolnicze i chowu i hodowli ryb. Wydaje się, że Zapewnienie żywności –a temu służy produkcja rolna oraz hodowla ryb jest ważniejszym priorytetem niż rekreacja.</w:t>
      </w:r>
    </w:p>
    <w:p w:rsidR="0019788E" w:rsidRDefault="0019788E" w:rsidP="0019788E">
      <w:pPr>
        <w:jc w:val="both"/>
        <w:rPr>
          <w:i/>
        </w:rPr>
      </w:pPr>
      <w:r>
        <w:rPr>
          <w:i/>
        </w:rPr>
        <w:t>Propozycja:</w:t>
      </w:r>
    </w:p>
    <w:p w:rsidR="0019788E" w:rsidRDefault="0019788E" w:rsidP="0019788E">
      <w:pPr>
        <w:jc w:val="both"/>
        <w:rPr>
          <w:i/>
        </w:rPr>
      </w:pPr>
      <w:r>
        <w:rPr>
          <w:i/>
        </w:rPr>
        <w:t>Wprowadzenie podpunktu 2) celów rolniczych i chowu i hodowli ryb oraz zmiana numerów – dotychczasowego 2) na 3) oraz dotychczasowego 3) na 4).</w:t>
      </w:r>
    </w:p>
    <w:p w:rsidR="0019788E" w:rsidRDefault="0019788E" w:rsidP="0019788E">
      <w:pPr>
        <w:jc w:val="both"/>
        <w:rPr>
          <w:i/>
        </w:rPr>
      </w:pPr>
      <w:r>
        <w:rPr>
          <w:i/>
        </w:rPr>
        <w:t xml:space="preserve">Zapisy w pkt. 3 tego artykuł, po przeredagowaniu powinny być przeniesione do Działu 2, Rozdziału 2 dotyczącego wód w kąpieliskach. </w:t>
      </w:r>
    </w:p>
    <w:p w:rsidR="0019788E" w:rsidRDefault="0019788E" w:rsidP="0019788E">
      <w:pPr>
        <w:pStyle w:val="ARTartustawynprozporzdzenia"/>
        <w:keepNext/>
      </w:pPr>
      <w:r w:rsidRPr="00EC3B35">
        <w:rPr>
          <w:rStyle w:val="Ppogrubienie"/>
        </w:rPr>
        <w:t>Art. 82.</w:t>
      </w:r>
      <w:r>
        <w:t> Organ właściwy do wydania zgody wodnoprawnej</w:t>
      </w:r>
      <w:r w:rsidRPr="00F85F3F">
        <w:t>, ustalając warunki wprowadzania ścieków do wód lub do ziemi, może określić w</w:t>
      </w:r>
      <w:r>
        <w:t> </w:t>
      </w:r>
      <w:r w:rsidRPr="00F85F3F">
        <w:t>pozwoleniu wodnoprawnym wartości zanieczyszczeń w</w:t>
      </w:r>
      <w:r>
        <w:t> </w:t>
      </w:r>
      <w:r w:rsidRPr="00F85F3F">
        <w:t>ściekach</w:t>
      </w:r>
      <w:r>
        <w:t>:</w:t>
      </w:r>
    </w:p>
    <w:p w:rsidR="0019788E" w:rsidRPr="00CD6585" w:rsidRDefault="0019788E" w:rsidP="0019788E">
      <w:pPr>
        <w:pStyle w:val="PKTpunkt"/>
      </w:pPr>
      <w:r>
        <w:t>1)</w:t>
      </w:r>
      <w:r>
        <w:tab/>
      </w:r>
      <w:r w:rsidRPr="00CD6585">
        <w:t>niższe niż najwyższe dopuszczalne wartości zanieczyszczeń określonych w</w:t>
      </w:r>
      <w:r>
        <w:t> </w:t>
      </w:r>
      <w:r w:rsidRPr="00CD6585">
        <w:t xml:space="preserve">przepisach </w:t>
      </w:r>
      <w:r w:rsidRPr="003D1377">
        <w:t>wydanych na podstawie</w:t>
      </w:r>
      <w:r>
        <w:t xml:space="preserve"> art. </w:t>
      </w:r>
      <w:r w:rsidRPr="002C5FE0">
        <w:t>9</w:t>
      </w:r>
      <w:r>
        <w:t>9 ust. </w:t>
      </w:r>
      <w:r w:rsidRPr="003D1377">
        <w:t>1</w:t>
      </w:r>
      <w:r>
        <w:t xml:space="preserve"> pkt </w:t>
      </w:r>
      <w:r w:rsidRPr="003D1377">
        <w:t>2, jeżeli istniejące urządzenia oczyszczające</w:t>
      </w:r>
      <w:r w:rsidRPr="00CD6585">
        <w:t xml:space="preserve"> umożliwiają ich osiągnięcie;</w:t>
      </w:r>
    </w:p>
    <w:p w:rsidR="0019788E" w:rsidRPr="00CD6585" w:rsidRDefault="0019788E" w:rsidP="0019788E">
      <w:pPr>
        <w:pStyle w:val="PKTpunkt"/>
      </w:pPr>
      <w:r>
        <w:t>2)</w:t>
      </w:r>
      <w:r>
        <w:tab/>
      </w:r>
      <w:r w:rsidRPr="00CD6585">
        <w:t>wyższe niż najwyższe dopuszczalne wartości zanieczyszczeń określonych w</w:t>
      </w:r>
      <w:r>
        <w:t> </w:t>
      </w:r>
      <w:r w:rsidRPr="00CD6585">
        <w:t xml:space="preserve">przepisach </w:t>
      </w:r>
      <w:r w:rsidRPr="003D1377">
        <w:t>wydanych na podstawie</w:t>
      </w:r>
      <w:r>
        <w:t xml:space="preserve"> art. </w:t>
      </w:r>
      <w:r w:rsidRPr="002C5FE0">
        <w:t>9</w:t>
      </w:r>
      <w:r>
        <w:t>9 ust. </w:t>
      </w:r>
      <w:r w:rsidRPr="003D1377">
        <w:t>1</w:t>
      </w:r>
      <w:r>
        <w:t xml:space="preserve"> pkt </w:t>
      </w:r>
      <w:r w:rsidRPr="003D1377">
        <w:t>2, jeżeli dotrzymanie najwyższych</w:t>
      </w:r>
      <w:r w:rsidRPr="00CD6585">
        <w:t xml:space="preserve"> dopuszczalnych wartości nie jest możliwe mimo zastosowania dostępnych technik </w:t>
      </w:r>
      <w:r w:rsidRPr="00CD6585">
        <w:lastRenderedPageBreak/>
        <w:t>i</w:t>
      </w:r>
      <w:r>
        <w:t> </w:t>
      </w:r>
      <w:r w:rsidRPr="00CD6585">
        <w:t>technologii oczyszczania ścieków oraz zmian w</w:t>
      </w:r>
      <w:r>
        <w:t> </w:t>
      </w:r>
      <w:r w:rsidRPr="00CD6585">
        <w:t>procesie produkcji, a</w:t>
      </w:r>
      <w:r>
        <w:t> </w:t>
      </w:r>
      <w:r w:rsidRPr="00CD6585">
        <w:t>jednocześnie stan wód odbiornika i</w:t>
      </w:r>
      <w:r>
        <w:t> </w:t>
      </w:r>
      <w:r w:rsidRPr="00CD6585">
        <w:t>ich podatność na eutrofizację pozwala na dokonanie odstępstw.</w:t>
      </w:r>
    </w:p>
    <w:p w:rsidR="0019788E" w:rsidRPr="00174B96" w:rsidRDefault="0019788E" w:rsidP="0019788E">
      <w:pPr>
        <w:jc w:val="both"/>
        <w:rPr>
          <w:i/>
        </w:rPr>
      </w:pPr>
      <w:r>
        <w:rPr>
          <w:i/>
        </w:rPr>
        <w:t>Uwaga</w:t>
      </w:r>
      <w:r w:rsidRPr="00174B96">
        <w:rPr>
          <w:i/>
        </w:rPr>
        <w:t>:</w:t>
      </w:r>
    </w:p>
    <w:p w:rsidR="0019788E" w:rsidRDefault="0019788E" w:rsidP="0019788E">
      <w:pPr>
        <w:jc w:val="both"/>
        <w:rPr>
          <w:i/>
        </w:rPr>
      </w:pPr>
      <w:r>
        <w:rPr>
          <w:i/>
        </w:rPr>
        <w:t>Artykuł rodzi konsekwencje uznaniowości, co w sytuacji braku drogi odwoławczej może mieć katastrofalne konsekwencje gospodarcze. Nie jest określone na jakiej podstawie „organ” będzie uznawał urządzenia za umożliwiające osiągnięcie niższych bądź wyższych niż dopuszczalne stężenia substancji. Artykuł powinien zostać usunięty.</w:t>
      </w:r>
    </w:p>
    <w:p w:rsidR="0019788E" w:rsidRPr="00B3367B" w:rsidRDefault="0019788E" w:rsidP="0019788E">
      <w:pPr>
        <w:pStyle w:val="USTustnpkodeksu"/>
      </w:pPr>
      <w:r w:rsidRPr="00EC3B35">
        <w:rPr>
          <w:rStyle w:val="Ppogrubienie"/>
        </w:rPr>
        <w:t>Art. 103</w:t>
      </w:r>
      <w:r>
        <w:rPr>
          <w:rStyle w:val="Ppogrubienie"/>
        </w:rPr>
        <w:t xml:space="preserve">. </w:t>
      </w:r>
      <w:r w:rsidRPr="00B3367B">
        <w:t xml:space="preserve">1. Minister właściwy do spraw rolnictwa w porozumieniu z ministrem właściwym do spraw </w:t>
      </w:r>
      <w:r>
        <w:t>gospodarki wodnej, biorąc po uwagę</w:t>
      </w:r>
      <w:r w:rsidRPr="00B3367B">
        <w:t xml:space="preserve"> wymagania, o których mowa w art. 102</w:t>
      </w:r>
      <w:r>
        <w:t xml:space="preserve"> ust. 1</w:t>
      </w:r>
      <w:r w:rsidRPr="00B3367B">
        <w:t>, opracuje zbiór zaleceń dobrej praktyki rolniczej</w:t>
      </w:r>
      <w:r>
        <w:t>, do dobrowolnego stosowania</w:t>
      </w:r>
      <w:r w:rsidRPr="00B3367B">
        <w:t>.</w:t>
      </w:r>
    </w:p>
    <w:p w:rsidR="0019788E" w:rsidRPr="00174B96" w:rsidRDefault="0019788E" w:rsidP="0019788E">
      <w:pPr>
        <w:jc w:val="both"/>
        <w:rPr>
          <w:i/>
        </w:rPr>
      </w:pPr>
      <w:r>
        <w:rPr>
          <w:i/>
        </w:rPr>
        <w:t>Uwaga</w:t>
      </w:r>
      <w:r w:rsidRPr="00174B96">
        <w:rPr>
          <w:i/>
        </w:rPr>
        <w:t>:</w:t>
      </w:r>
    </w:p>
    <w:p w:rsidR="0019788E" w:rsidRDefault="0019788E" w:rsidP="0019788E">
      <w:pPr>
        <w:jc w:val="both"/>
        <w:rPr>
          <w:i/>
        </w:rPr>
      </w:pPr>
      <w:r>
        <w:rPr>
          <w:i/>
        </w:rPr>
        <w:t>Ze względu na fakt, że chów i hodowla ryb podlegają obecnie Ministerstwu Żeglugi i Gospodarki Morskiej, należy dodać „</w:t>
      </w:r>
      <w:r w:rsidRPr="00BA2494">
        <w:rPr>
          <w:i/>
        </w:rPr>
        <w:t>w porozumieniu z ministrem właściwym do spraw gospodarki rybackiej i ministrem właściwym do spraw gospodarki wodnej”</w:t>
      </w:r>
      <w:r>
        <w:rPr>
          <w:i/>
        </w:rPr>
        <w:t xml:space="preserve">. Jest to o tyle ważne, że gospodarka rolna oraz chów i hodowla ryb mają inne wymagania, inne uwarunkowania i inne oddziaływania w odniesieniu do zapisów art. 102. </w:t>
      </w:r>
    </w:p>
    <w:p w:rsidR="0019788E" w:rsidRPr="00F13B3D" w:rsidRDefault="0019788E" w:rsidP="0019788E">
      <w:pPr>
        <w:pStyle w:val="ARTartustawynprozporzdzenia"/>
      </w:pPr>
      <w:r w:rsidRPr="00EC3B35">
        <w:rPr>
          <w:rStyle w:val="Ppogrubienie"/>
        </w:rPr>
        <w:t>Art.</w:t>
      </w:r>
      <w:r>
        <w:rPr>
          <w:rStyle w:val="Ppogrubienie"/>
        </w:rPr>
        <w:t> 106</w:t>
      </w:r>
      <w:r w:rsidRPr="00EC3B35">
        <w:rPr>
          <w:rStyle w:val="Ppogrubienie"/>
        </w:rPr>
        <w:t>.</w:t>
      </w:r>
      <w:r w:rsidRPr="00EC3B35">
        <w:t xml:space="preserve"> 1. </w:t>
      </w:r>
      <w:r>
        <w:t>Minister właściwy</w:t>
      </w:r>
      <w:r w:rsidRPr="00F13B3D">
        <w:t xml:space="preserve"> do spraw gospodarki wodnej, w uzgodnieniu </w:t>
      </w:r>
      <w:r>
        <w:br/>
      </w:r>
      <w:r w:rsidRPr="00F13B3D">
        <w:t>z ministrem w</w:t>
      </w:r>
      <w:r>
        <w:t>łaściwym do spraw rolnictwa</w:t>
      </w:r>
      <w:r w:rsidRPr="00F13B3D">
        <w:t xml:space="preserve"> opracowuje proje</w:t>
      </w:r>
      <w:r>
        <w:t>kt programu działań.</w:t>
      </w:r>
    </w:p>
    <w:p w:rsidR="0019788E" w:rsidRPr="00174B96" w:rsidRDefault="0019788E" w:rsidP="0019788E">
      <w:pPr>
        <w:jc w:val="both"/>
        <w:rPr>
          <w:i/>
        </w:rPr>
      </w:pPr>
      <w:r>
        <w:rPr>
          <w:i/>
        </w:rPr>
        <w:t>Uwaga</w:t>
      </w:r>
      <w:r w:rsidRPr="00174B96">
        <w:rPr>
          <w:i/>
        </w:rPr>
        <w:t>:</w:t>
      </w:r>
    </w:p>
    <w:p w:rsidR="0019788E" w:rsidRDefault="0019788E" w:rsidP="0019788E">
      <w:pPr>
        <w:jc w:val="both"/>
        <w:rPr>
          <w:i/>
        </w:rPr>
      </w:pPr>
      <w:r>
        <w:rPr>
          <w:i/>
        </w:rPr>
        <w:t>Ze względu na fakt, że chów i hodowla ryb podlegają obecnie Ministerstwu Żeglugi i Gospodarki Morskiej, należy dodać „</w:t>
      </w:r>
      <w:r w:rsidRPr="00BA2494">
        <w:rPr>
          <w:i/>
        </w:rPr>
        <w:t>w </w:t>
      </w:r>
      <w:r>
        <w:rPr>
          <w:i/>
        </w:rPr>
        <w:t>uzgodnień z</w:t>
      </w:r>
      <w:r w:rsidRPr="00BA2494">
        <w:rPr>
          <w:i/>
        </w:rPr>
        <w:t xml:space="preserve"> ministrem właściwym do spraw gospodarki </w:t>
      </w:r>
      <w:r>
        <w:rPr>
          <w:i/>
        </w:rPr>
        <w:t>rolnictwa</w:t>
      </w:r>
      <w:r w:rsidRPr="00BA2494">
        <w:rPr>
          <w:i/>
        </w:rPr>
        <w:t xml:space="preserve"> i ministrem właściwym do spraw gospodarki </w:t>
      </w:r>
      <w:r>
        <w:rPr>
          <w:i/>
        </w:rPr>
        <w:t>rybackiej</w:t>
      </w:r>
      <w:r w:rsidRPr="00BA2494">
        <w:rPr>
          <w:i/>
        </w:rPr>
        <w:t>”</w:t>
      </w:r>
      <w:r>
        <w:rPr>
          <w:i/>
        </w:rPr>
        <w:t>. Analogicznie jak w odniesieniu do art. 103.</w:t>
      </w:r>
    </w:p>
    <w:p w:rsidR="00B27F88" w:rsidRDefault="00B27F88">
      <w:bookmarkStart w:id="0" w:name="_GoBack"/>
      <w:bookmarkEnd w:id="0"/>
    </w:p>
    <w:sectPr w:rsidR="00B27F8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675"/>
    <w:rsid w:val="0019788E"/>
    <w:rsid w:val="004069E2"/>
    <w:rsid w:val="00785675"/>
    <w:rsid w:val="00912820"/>
    <w:rsid w:val="00B27F8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RTartustawynprozporzdzenia">
    <w:name w:val="ART(§) – art. ustawy (§ np. rozporządzenia)"/>
    <w:qFormat/>
    <w:rsid w:val="0019788E"/>
    <w:pPr>
      <w:suppressAutoHyphens/>
      <w:autoSpaceDE w:val="0"/>
      <w:autoSpaceDN w:val="0"/>
      <w:adjustRightInd w:val="0"/>
      <w:spacing w:before="120" w:after="0" w:line="360" w:lineRule="auto"/>
      <w:ind w:firstLine="510"/>
      <w:jc w:val="both"/>
    </w:pPr>
    <w:rPr>
      <w:rFonts w:ascii="Times" w:eastAsiaTheme="minorEastAsia" w:hAnsi="Times" w:cs="Arial"/>
      <w:sz w:val="24"/>
      <w:szCs w:val="20"/>
      <w:lang w:eastAsia="pl-PL"/>
    </w:rPr>
  </w:style>
  <w:style w:type="paragraph" w:customStyle="1" w:styleId="PKTpunkt">
    <w:name w:val="PKT – punkt"/>
    <w:qFormat/>
    <w:rsid w:val="0019788E"/>
    <w:pPr>
      <w:spacing w:after="0" w:line="360" w:lineRule="auto"/>
      <w:ind w:left="510" w:hanging="510"/>
      <w:jc w:val="both"/>
    </w:pPr>
    <w:rPr>
      <w:rFonts w:ascii="Times" w:eastAsiaTheme="minorEastAsia" w:hAnsi="Times" w:cs="Arial"/>
      <w:bCs/>
      <w:sz w:val="24"/>
      <w:szCs w:val="20"/>
      <w:lang w:eastAsia="pl-PL"/>
    </w:rPr>
  </w:style>
  <w:style w:type="character" w:customStyle="1" w:styleId="Ppogrubienie">
    <w:name w:val="_P_ – pogrubienie"/>
    <w:basedOn w:val="Domylnaczcionkaakapitu"/>
    <w:uiPriority w:val="1"/>
    <w:qFormat/>
    <w:rsid w:val="0019788E"/>
    <w:rPr>
      <w:b/>
    </w:rPr>
  </w:style>
  <w:style w:type="paragraph" w:customStyle="1" w:styleId="USTustnpkodeksu">
    <w:name w:val="UST(§) – ust. (§ np. kodeksu)"/>
    <w:basedOn w:val="ARTartustawynprozporzdzenia"/>
    <w:qFormat/>
    <w:rsid w:val="0019788E"/>
    <w:pPr>
      <w:spacing w:before="0"/>
    </w:pPr>
    <w:rPr>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RTartustawynprozporzdzenia">
    <w:name w:val="ART(§) – art. ustawy (§ np. rozporządzenia)"/>
    <w:qFormat/>
    <w:rsid w:val="0019788E"/>
    <w:pPr>
      <w:suppressAutoHyphens/>
      <w:autoSpaceDE w:val="0"/>
      <w:autoSpaceDN w:val="0"/>
      <w:adjustRightInd w:val="0"/>
      <w:spacing w:before="120" w:after="0" w:line="360" w:lineRule="auto"/>
      <w:ind w:firstLine="510"/>
      <w:jc w:val="both"/>
    </w:pPr>
    <w:rPr>
      <w:rFonts w:ascii="Times" w:eastAsiaTheme="minorEastAsia" w:hAnsi="Times" w:cs="Arial"/>
      <w:sz w:val="24"/>
      <w:szCs w:val="20"/>
      <w:lang w:eastAsia="pl-PL"/>
    </w:rPr>
  </w:style>
  <w:style w:type="paragraph" w:customStyle="1" w:styleId="PKTpunkt">
    <w:name w:val="PKT – punkt"/>
    <w:qFormat/>
    <w:rsid w:val="0019788E"/>
    <w:pPr>
      <w:spacing w:after="0" w:line="360" w:lineRule="auto"/>
      <w:ind w:left="510" w:hanging="510"/>
      <w:jc w:val="both"/>
    </w:pPr>
    <w:rPr>
      <w:rFonts w:ascii="Times" w:eastAsiaTheme="minorEastAsia" w:hAnsi="Times" w:cs="Arial"/>
      <w:bCs/>
      <w:sz w:val="24"/>
      <w:szCs w:val="20"/>
      <w:lang w:eastAsia="pl-PL"/>
    </w:rPr>
  </w:style>
  <w:style w:type="character" w:customStyle="1" w:styleId="Ppogrubienie">
    <w:name w:val="_P_ – pogrubienie"/>
    <w:basedOn w:val="Domylnaczcionkaakapitu"/>
    <w:uiPriority w:val="1"/>
    <w:qFormat/>
    <w:rsid w:val="0019788E"/>
    <w:rPr>
      <w:b/>
    </w:rPr>
  </w:style>
  <w:style w:type="paragraph" w:customStyle="1" w:styleId="USTustnpkodeksu">
    <w:name w:val="UST(§) – ust. (§ np. kodeksu)"/>
    <w:basedOn w:val="ARTartustawynprozporzdzenia"/>
    <w:qFormat/>
    <w:rsid w:val="0019788E"/>
    <w:pPr>
      <w:spacing w:before="0"/>
    </w:pPr>
    <w:rPr>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495</Words>
  <Characters>2976</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Swacha - Polańska</dc:creator>
  <cp:lastModifiedBy>Anna Swacha - Polańska</cp:lastModifiedBy>
  <cp:revision>2</cp:revision>
  <dcterms:created xsi:type="dcterms:W3CDTF">2016-04-28T09:48:00Z</dcterms:created>
  <dcterms:modified xsi:type="dcterms:W3CDTF">2016-04-28T09:48:00Z</dcterms:modified>
</cp:coreProperties>
</file>